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0C27048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27DA08BC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115A2E38" w:rsidR="004468B9" w:rsidRPr="00933647" w:rsidRDefault="00F11A7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科學計算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74DD5C3C" w:rsidR="004468B9" w:rsidRPr="00933647" w:rsidRDefault="00F11A7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Scientific Programming</w:t>
            </w:r>
          </w:p>
        </w:tc>
      </w:tr>
      <w:tr w:rsidR="00F11A79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407AD156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Mon. 2 – 5 PM</w:t>
            </w:r>
          </w:p>
        </w:tc>
      </w:tr>
      <w:tr w:rsidR="00F11A79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50DE67E8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IES 311</w:t>
            </w:r>
          </w:p>
        </w:tc>
      </w:tr>
      <w:tr w:rsidR="00F11A79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7F450DB0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F11A79" w:rsidRPr="00933647" w14:paraId="6A701F86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主要授課老師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Main Instructors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7CA7BD0F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E</w:t>
            </w:r>
            <w:r>
              <w:rPr>
                <w:rFonts w:eastAsia="新細明體" w:cstheme="minorHAnsi"/>
                <w:kern w:val="0"/>
                <w:szCs w:val="24"/>
              </w:rPr>
              <w:t>h Tan</w:t>
            </w:r>
          </w:p>
        </w:tc>
      </w:tr>
      <w:tr w:rsidR="00F11A79" w:rsidRPr="00933647" w14:paraId="24753EF6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08344BD1" w:rsidR="00F11A79" w:rsidRPr="00933647" w:rsidRDefault="00FE111F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F11A79" w:rsidRPr="00515E1C">
                <w:rPr>
                  <w:rStyle w:val="a8"/>
                  <w:rFonts w:eastAsia="新細明體" w:cstheme="minorHAnsi" w:hint="eastAsia"/>
                  <w:kern w:val="0"/>
                  <w:szCs w:val="24"/>
                </w:rPr>
                <w:t>t</w:t>
              </w:r>
              <w:r w:rsidR="00F11A79" w:rsidRPr="00515E1C">
                <w:rPr>
                  <w:rStyle w:val="a8"/>
                  <w:rFonts w:eastAsia="新細明體" w:cstheme="minorHAnsi"/>
                  <w:kern w:val="0"/>
                  <w:szCs w:val="24"/>
                </w:rPr>
                <w:t>an2@earth.sinica.edu.tw</w:t>
              </w:r>
            </w:hyperlink>
          </w:p>
        </w:tc>
      </w:tr>
      <w:tr w:rsidR="00F11A79" w:rsidRPr="00933647" w14:paraId="5B943A3A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4AFC2F98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10425C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Fri. 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11 AM </w:t>
            </w:r>
            <w:r w:rsidRPr="0010425C">
              <w:rPr>
                <w:rFonts w:ascii="Verdana" w:hAnsi="Verdana"/>
                <w:sz w:val="21"/>
                <w:szCs w:val="21"/>
                <w:shd w:val="clear" w:color="auto" w:fill="FFFFFF"/>
              </w:rPr>
              <w:t>at IES Room 503</w:t>
            </w:r>
          </w:p>
        </w:tc>
      </w:tr>
      <w:tr w:rsidR="00F11A79" w:rsidRPr="00933647" w14:paraId="231F7485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1B4D231D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Introduction to scientific programming with Python.</w:t>
            </w:r>
          </w:p>
        </w:tc>
      </w:tr>
      <w:tr w:rsidR="00F11A79" w:rsidRPr="00933647" w14:paraId="48ABD1BF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40DEDE92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This course is designed for absolute beginners. No past programming experience is required. The course will be offered in a “flip-classroom” fashion. The students will have to watch online video or read online course material before the class and bring their own laptop computer to the class for in-class exercises.</w:t>
            </w:r>
          </w:p>
        </w:tc>
      </w:tr>
      <w:tr w:rsidR="00F11A79" w:rsidRPr="00933647" w14:paraId="5D3BE4B7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Textbooks/References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7E9468" w14:textId="5A8A7115" w:rsidR="00F11A79" w:rsidRPr="00F11A79" w:rsidRDefault="00F11A79" w:rsidP="00F11A7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11A79">
              <w:rPr>
                <w:rFonts w:ascii="Verdana" w:eastAsia="新細明體" w:hAnsi="Verdana" w:cs="新細明體"/>
                <w:kern w:val="0"/>
                <w:szCs w:val="24"/>
              </w:rPr>
              <w:t xml:space="preserve">Introduction to Scientific Programming with Python, by Joakim </w:t>
            </w:r>
            <w:proofErr w:type="spellStart"/>
            <w:r w:rsidRPr="00F11A79">
              <w:rPr>
                <w:rFonts w:ascii="Verdana" w:eastAsia="新細明體" w:hAnsi="Verdana" w:cs="新細明體"/>
                <w:kern w:val="0"/>
                <w:szCs w:val="24"/>
              </w:rPr>
              <w:t>Sundnes</w:t>
            </w:r>
            <w:proofErr w:type="spellEnd"/>
            <w:r w:rsidRPr="00F11A79">
              <w:rPr>
                <w:rFonts w:ascii="Verdana" w:eastAsia="新細明體" w:hAnsi="Verdana" w:cs="新細明體"/>
                <w:kern w:val="0"/>
                <w:szCs w:val="24"/>
              </w:rPr>
              <w:t>, Springer, 2020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 xml:space="preserve"> (</w:t>
            </w:r>
            <w:r w:rsidRPr="00F11A79">
              <w:rPr>
                <w:rFonts w:ascii="Verdana" w:eastAsia="新細明體" w:hAnsi="Verdana" w:cs="新細明體"/>
                <w:kern w:val="0"/>
                <w:szCs w:val="24"/>
              </w:rPr>
              <w:t>https://doi.org/10.1007/978-3-030-50356-7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>)</w:t>
            </w:r>
          </w:p>
          <w:p w14:paraId="798422E7" w14:textId="4408CF0E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spellStart"/>
            <w:r w:rsidRPr="000D76AD">
              <w:rPr>
                <w:rFonts w:ascii="Verdana" w:eastAsia="新細明體" w:hAnsi="Verdana" w:cs="新細明體"/>
                <w:kern w:val="0"/>
                <w:szCs w:val="24"/>
              </w:rPr>
              <w:t>Scipy</w:t>
            </w:r>
            <w:proofErr w:type="spellEnd"/>
            <w:r w:rsidRPr="000D76AD">
              <w:rPr>
                <w:rFonts w:ascii="Verdana" w:eastAsia="新細明體" w:hAnsi="Verdana" w:cs="新細明體"/>
                <w:kern w:val="0"/>
                <w:szCs w:val="24"/>
              </w:rPr>
              <w:t xml:space="preserve"> Lecture Note 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>(</w:t>
            </w:r>
            <w:r w:rsidRPr="000D76AD">
              <w:rPr>
                <w:rFonts w:ascii="Verdana" w:eastAsia="新細明體" w:hAnsi="Verdana" w:cs="新細明體"/>
                <w:kern w:val="0"/>
                <w:szCs w:val="24"/>
              </w:rPr>
              <w:t>https://scipy-lectures.org/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>)</w:t>
            </w:r>
          </w:p>
        </w:tc>
      </w:tr>
      <w:tr w:rsidR="00F11A79" w:rsidRPr="00933647" w14:paraId="1D94F2F7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0C258ABD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F11A79" w:rsidRPr="00933647" w14:paraId="13E9A1D8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6E17F795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4BCDDEAD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F11A79" w:rsidRPr="00933647" w14:paraId="61B88EA5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評量配分比重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9AC91D7" w14:textId="0D661D72" w:rsidR="00F11A79" w:rsidRPr="005635A5" w:rsidRDefault="00F11A79" w:rsidP="00F11A79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60% Homework, 20% Midterm, 20% Final</w:t>
            </w:r>
          </w:p>
          <w:p w14:paraId="2FAEC695" w14:textId="77777777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5F0519B8" w14:textId="77777777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F11A79" w:rsidRPr="00933647" w14:paraId="62B82497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58C1B766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F11A79" w:rsidRPr="00933647" w14:paraId="41FE49AB" w14:textId="77777777" w:rsidTr="00F11A79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167EF031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F11A79" w:rsidRPr="00933647" w:rsidRDefault="00F11A79" w:rsidP="00F11A7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F11A79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課程進度與內容</w:t>
            </w:r>
          </w:p>
          <w:p w14:paraId="33827FF6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F11A79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Instructor/Readings or assignments</w:t>
            </w:r>
          </w:p>
        </w:tc>
      </w:tr>
      <w:tr w:rsidR="00F11A79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3A20E67D" w:rsidR="00F11A79" w:rsidRPr="00F11A79" w:rsidRDefault="00F11A79" w:rsidP="00F11A79">
            <w:pPr>
              <w:rPr>
                <w:rFonts w:cstheme="minorHAnsi"/>
              </w:rPr>
            </w:pPr>
            <w:r w:rsidRPr="00F11A79">
              <w:rPr>
                <w:rFonts w:cstheme="minorHAnsi"/>
              </w:rPr>
              <w:t>Python programming environment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7BA541C8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</w:t>
            </w:r>
            <w:r>
              <w:rPr>
                <w:rFonts w:cstheme="minorHAnsi"/>
              </w:rPr>
              <w:t>asic types and containers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7EF275EA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ontrol flow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78165885" w:rsidR="00F11A79" w:rsidRPr="00933647" w:rsidRDefault="00F11A79" w:rsidP="00F11A79">
            <w:pPr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umpy</w:t>
            </w:r>
            <w:proofErr w:type="spellEnd"/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437FC09B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</w:t>
            </w:r>
            <w:r>
              <w:rPr>
                <w:rFonts w:cstheme="minorHAnsi"/>
              </w:rPr>
              <w:t>atplotlib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0A07C2BD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tring and text IO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5FC3BDA8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</w:t>
            </w:r>
            <w:r>
              <w:rPr>
                <w:rFonts w:cstheme="minorHAnsi"/>
              </w:rPr>
              <w:t>inary IO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16F813BF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unctions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7520C10E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</w:t>
            </w:r>
            <w:r>
              <w:rPr>
                <w:rFonts w:cstheme="minorHAnsi"/>
              </w:rPr>
              <w:t>idterm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08CECC26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I</w:t>
            </w:r>
            <w:r>
              <w:rPr>
                <w:rFonts w:cstheme="minorHAnsi"/>
              </w:rPr>
              <w:t>nterpolation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59AD60B7" w:rsidR="00F11A79" w:rsidRPr="00933647" w:rsidRDefault="00B0701D" w:rsidP="00F11A79">
            <w:pPr>
              <w:rPr>
                <w:rFonts w:cstheme="minorHAnsi"/>
              </w:rPr>
            </w:pPr>
            <w:r>
              <w:rPr>
                <w:rFonts w:cstheme="minorHAnsi"/>
              </w:rPr>
              <w:t>Machine Learning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0A7E7BE3" w:rsidR="00F11A79" w:rsidRPr="00933647" w:rsidRDefault="00B0701D" w:rsidP="00F11A79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1D81FE0D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inite difference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29094CDD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y</w:t>
            </w:r>
            <w:r w:rsidR="00B0701D">
              <w:rPr>
                <w:rFonts w:cstheme="minorHAnsi"/>
              </w:rPr>
              <w:t>mbolic math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5BC9E543" w:rsidR="00F11A79" w:rsidRPr="00933647" w:rsidRDefault="005520A7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D</w:t>
            </w:r>
            <w:r>
              <w:rPr>
                <w:rFonts w:cstheme="minorHAnsi"/>
              </w:rPr>
              <w:t>ebugging and profiling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551B6FF9" w:rsidR="00F11A79" w:rsidRPr="00933647" w:rsidRDefault="00F11A79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inal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479C5A37" w:rsidR="00F11A79" w:rsidRPr="00933647" w:rsidRDefault="00A9603A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dvanced Material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627DEFC7" w:rsidR="00F11A79" w:rsidRPr="00933647" w:rsidRDefault="00A9603A" w:rsidP="00F11A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dvanced Material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F11A79" w:rsidRPr="00933647" w:rsidRDefault="00F11A79" w:rsidP="00F11A7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F11A79" w:rsidRPr="00933647" w:rsidRDefault="00F11A79" w:rsidP="00F11A79">
            <w:pPr>
              <w:rPr>
                <w:rFonts w:cstheme="minorHAnsi"/>
              </w:rPr>
            </w:pPr>
          </w:p>
        </w:tc>
      </w:tr>
      <w:tr w:rsidR="00F11A79" w:rsidRPr="00933647" w14:paraId="2CF91457" w14:textId="77777777" w:rsidTr="00F11A79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lastRenderedPageBreak/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C374B1">
              <w:rPr>
                <w:rFonts w:eastAsia="標楷體" w:cstheme="minorHAnsi"/>
              </w:rPr>
              <w:t>博士班</w:t>
            </w:r>
            <w:r w:rsidRPr="00C374B1">
              <w:rPr>
                <w:rFonts w:eastAsia="標楷體" w:cstheme="minorHAnsi"/>
              </w:rPr>
              <w:t>(</w:t>
            </w:r>
            <w:r w:rsidRPr="00933647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  <w:p w14:paraId="77AC6DB1" w14:textId="77777777" w:rsidR="00F11A79" w:rsidRPr="00933647" w:rsidRDefault="00F11A79" w:rsidP="00F11A7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F11A79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F11A79" w:rsidRPr="00933647" w:rsidRDefault="00F11A79" w:rsidP="00F11A79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F11A79" w:rsidRPr="00933647" w:rsidRDefault="00F11A79" w:rsidP="00F11A79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F11A79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F11A79" w:rsidRPr="00933647" w:rsidRDefault="00F11A79" w:rsidP="00F11A79">
            <w:pPr>
              <w:spacing w:afterLines="50" w:after="18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77777777" w:rsidR="00F11A79" w:rsidRPr="00933647" w:rsidRDefault="00F11A79" w:rsidP="00F11A79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7777777" w:rsidR="00F11A79" w:rsidRPr="00933647" w:rsidRDefault="00F11A79" w:rsidP="00F11A79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F11A79" w:rsidRPr="00933647" w:rsidRDefault="00F11A79" w:rsidP="00F11A79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F11A79" w:rsidRPr="00933647" w:rsidRDefault="00F11A79" w:rsidP="00F11A79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F11A79" w:rsidRPr="00933647" w:rsidRDefault="00F11A79" w:rsidP="00F11A79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F11A79" w:rsidRPr="00933647" w:rsidRDefault="00F11A79" w:rsidP="00F11A79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F11A79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F11A79" w:rsidRPr="00933647" w:rsidRDefault="00F11A79" w:rsidP="00F11A79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F11A79" w:rsidRPr="00933647" w:rsidRDefault="00F11A79" w:rsidP="00F11A79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F11A79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F11A79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F11A79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2AAAFE88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6E0FE607" w:rsidR="00F11A79" w:rsidRPr="00933647" w:rsidRDefault="00A9603A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F11A79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F11A79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F11A79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2762455F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F11A79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69D025EE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54F207CC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2A010BB2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F11A79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375F700B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53E7FFA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6CA08A05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F11A79" w:rsidRPr="00933647" w:rsidRDefault="00F11A79" w:rsidP="00F11A79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F11A79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6FA20E39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3AB75A3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2873C304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F11A79" w:rsidRPr="00933647" w:rsidRDefault="00F11A79" w:rsidP="00F11A79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F11A79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B62F0BF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B64585A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41A71DF9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F11A79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0BB365F4" w:rsidR="00F11A79" w:rsidRPr="00933647" w:rsidRDefault="00A9603A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F11A79" w:rsidRPr="00933647" w:rsidRDefault="00F11A79" w:rsidP="00F11A79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380AF4A2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2E1C77EE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A9603A">
                    <w:rPr>
                      <w:rFonts w:ascii="Verdana" w:eastAsia="標楷體" w:hAnsi="Verdana" w:cs="新細明體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F11A79" w:rsidRPr="00933647" w:rsidRDefault="00F11A79" w:rsidP="00F11A79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F11A79" w:rsidRPr="00933647" w:rsidRDefault="00F11A79" w:rsidP="00F11A79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1026" w14:textId="77777777" w:rsidR="00FE111F" w:rsidRDefault="00FE111F" w:rsidP="00982579">
      <w:r>
        <w:separator/>
      </w:r>
    </w:p>
  </w:endnote>
  <w:endnote w:type="continuationSeparator" w:id="0">
    <w:p w14:paraId="7272459A" w14:textId="77777777" w:rsidR="00FE111F" w:rsidRDefault="00FE111F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EC3B" w14:textId="77777777" w:rsidR="00FE111F" w:rsidRDefault="00FE111F" w:rsidP="00982579">
      <w:r>
        <w:separator/>
      </w:r>
    </w:p>
  </w:footnote>
  <w:footnote w:type="continuationSeparator" w:id="0">
    <w:p w14:paraId="7CBC608C" w14:textId="77777777" w:rsidR="00FE111F" w:rsidRDefault="00FE111F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6D"/>
    <w:multiLevelType w:val="hybridMultilevel"/>
    <w:tmpl w:val="AA2CD69A"/>
    <w:lvl w:ilvl="0" w:tplc="4C9C7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B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A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6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A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2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2E3FCE"/>
    <w:rsid w:val="0038470E"/>
    <w:rsid w:val="003B3EE5"/>
    <w:rsid w:val="004468B9"/>
    <w:rsid w:val="0047176A"/>
    <w:rsid w:val="00483D85"/>
    <w:rsid w:val="004B5BD4"/>
    <w:rsid w:val="004E02AA"/>
    <w:rsid w:val="00523B32"/>
    <w:rsid w:val="0052455E"/>
    <w:rsid w:val="00530F46"/>
    <w:rsid w:val="005520A7"/>
    <w:rsid w:val="00555E7B"/>
    <w:rsid w:val="005635A5"/>
    <w:rsid w:val="00564B20"/>
    <w:rsid w:val="00571809"/>
    <w:rsid w:val="005E2C17"/>
    <w:rsid w:val="00630B31"/>
    <w:rsid w:val="00677009"/>
    <w:rsid w:val="006E1CCD"/>
    <w:rsid w:val="007576E2"/>
    <w:rsid w:val="007954AB"/>
    <w:rsid w:val="007A2F56"/>
    <w:rsid w:val="007A32A9"/>
    <w:rsid w:val="007D5D2E"/>
    <w:rsid w:val="0081162A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D4F3A"/>
    <w:rsid w:val="00A575DE"/>
    <w:rsid w:val="00A9603A"/>
    <w:rsid w:val="00AF3EF4"/>
    <w:rsid w:val="00B0701D"/>
    <w:rsid w:val="00B3364E"/>
    <w:rsid w:val="00B56124"/>
    <w:rsid w:val="00BA6280"/>
    <w:rsid w:val="00BD1BAE"/>
    <w:rsid w:val="00C21DFD"/>
    <w:rsid w:val="00C374B1"/>
    <w:rsid w:val="00CC2838"/>
    <w:rsid w:val="00D80795"/>
    <w:rsid w:val="00DB7163"/>
    <w:rsid w:val="00E44FB8"/>
    <w:rsid w:val="00EE701D"/>
    <w:rsid w:val="00F11A79"/>
    <w:rsid w:val="00F449F9"/>
    <w:rsid w:val="00F874C8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F11A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2@earth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A36-5412-4BDE-B868-6C9FB1D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2023-03-21T01:56:00Z</dcterms:created>
  <dcterms:modified xsi:type="dcterms:W3CDTF">2023-03-21T01:56:00Z</dcterms:modified>
</cp:coreProperties>
</file>