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65604FA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5 Sp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1AA2B3CF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Spring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030152F8" w:rsidR="004468B9" w:rsidRPr="00933647" w:rsidRDefault="0078255B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海洋地球物理</w:t>
            </w:r>
          </w:p>
        </w:tc>
      </w:tr>
      <w:tr w:rsidR="004468B9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26FB3043" w:rsidR="004468B9" w:rsidRPr="00933647" w:rsidRDefault="0078255B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Marine Geophysics</w:t>
            </w:r>
          </w:p>
        </w:tc>
      </w:tr>
      <w:tr w:rsidR="00B56124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49A00E78" w:rsidR="00B56124" w:rsidRPr="00933647" w:rsidRDefault="0078255B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Wednesday (9 AM to noon)</w:t>
            </w:r>
          </w:p>
        </w:tc>
      </w:tr>
      <w:tr w:rsidR="00B56124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1CDB8435" w:rsidR="00B56124" w:rsidRPr="00933647" w:rsidRDefault="0078255B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Room 511a, IES</w:t>
            </w:r>
          </w:p>
        </w:tc>
      </w:tr>
      <w:tr w:rsidR="00037EDF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2C6B9848" w:rsidR="00037EDF" w:rsidRPr="00933647" w:rsidRDefault="0078255B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3</w:t>
            </w:r>
          </w:p>
        </w:tc>
      </w:tr>
      <w:tr w:rsidR="004468B9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4468B9" w:rsidRPr="00933647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br/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79A6A007" w:rsidR="004468B9" w:rsidRPr="00933647" w:rsidRDefault="0078255B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Wu-Cheng Chi</w:t>
            </w:r>
          </w:p>
        </w:tc>
      </w:tr>
      <w:tr w:rsidR="000570D2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5861AD28" w:rsidR="000570D2" w:rsidRPr="00933647" w:rsidRDefault="0078255B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chi@earth.sinica.edu.tw</w:t>
            </w:r>
          </w:p>
        </w:tc>
      </w:tr>
      <w:tr w:rsidR="004468B9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4468B9" w:rsidRPr="00933647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0A1A0395" w:rsidR="004468B9" w:rsidRPr="00BB3FCA" w:rsidRDefault="0078255B" w:rsidP="004468B9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>
              <w:rPr>
                <w:rFonts w:eastAsia="新細明體" w:cstheme="minorHAnsi"/>
                <w:color w:val="000000" w:themeColor="text1"/>
                <w:kern w:val="0"/>
                <w:szCs w:val="24"/>
              </w:rPr>
              <w:t xml:space="preserve">Tuesday (9 to 10 AM) </w:t>
            </w:r>
          </w:p>
        </w:tc>
      </w:tr>
      <w:tr w:rsidR="00274380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274380" w:rsidRPr="00933647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07B336" w14:textId="33212D7E" w:rsidR="00274380" w:rsidRPr="00933647" w:rsidRDefault="0078255B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Allow the student to have qualitative and quantitative understanding of how marine geophysics work</w:t>
            </w:r>
          </w:p>
        </w:tc>
      </w:tr>
      <w:tr w:rsidR="003B54E1" w:rsidRPr="00933647" w14:paraId="7FE30611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499BD1D" w14:textId="77777777" w:rsidR="0078255B" w:rsidRDefault="0078255B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Seismic and Acoustic</w:t>
            </w:r>
          </w:p>
          <w:p w14:paraId="49C53712" w14:textId="4FDF24AC" w:rsidR="0078255B" w:rsidRDefault="0078255B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Gravity</w:t>
            </w:r>
          </w:p>
          <w:p w14:paraId="0681ACD2" w14:textId="77777777" w:rsidR="0078255B" w:rsidRDefault="0078255B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Magnetic</w:t>
            </w:r>
          </w:p>
          <w:p w14:paraId="65D38D5D" w14:textId="71133AA5" w:rsidR="0078255B" w:rsidRPr="00933647" w:rsidRDefault="0078255B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Heat Flow</w:t>
            </w:r>
          </w:p>
        </w:tc>
      </w:tr>
      <w:tr w:rsidR="003B54E1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A10B3D" w14:textId="77777777" w:rsidR="0078255B" w:rsidRPr="0078255B" w:rsidRDefault="0078255B" w:rsidP="0078255B">
            <w:pPr>
              <w:widowControl/>
              <w:rPr>
                <w:rFonts w:eastAsia="新細明體" w:cstheme="minorHAnsi"/>
                <w:b/>
                <w:bCs/>
                <w:kern w:val="0"/>
                <w:szCs w:val="24"/>
                <w:lang/>
              </w:rPr>
            </w:pPr>
            <w:r w:rsidRPr="0078255B">
              <w:rPr>
                <w:rFonts w:eastAsia="新細明體" w:cstheme="minorHAnsi"/>
                <w:b/>
                <w:bCs/>
                <w:kern w:val="0"/>
                <w:szCs w:val="24"/>
                <w:lang/>
              </w:rPr>
              <w:t>Marine Geophysics 1st Edition</w:t>
            </w:r>
          </w:p>
          <w:p w14:paraId="343910A2" w14:textId="5F09B35B" w:rsidR="0078255B" w:rsidRPr="0078255B" w:rsidRDefault="0078255B" w:rsidP="0078255B">
            <w:pPr>
              <w:widowControl/>
              <w:rPr>
                <w:rFonts w:eastAsia="新細明體" w:cstheme="minorHAnsi"/>
                <w:kern w:val="0"/>
                <w:szCs w:val="24"/>
                <w:lang/>
              </w:rPr>
            </w:pPr>
            <w:r w:rsidRPr="0078255B">
              <w:rPr>
                <w:rFonts w:eastAsia="新細明體" w:cstheme="minorHAnsi"/>
                <w:kern w:val="0"/>
                <w:szCs w:val="24"/>
                <w:lang/>
              </w:rPr>
              <w:t>by </w:t>
            </w:r>
            <w:hyperlink r:id="rId8" w:history="1">
              <w:r w:rsidRPr="0078255B">
                <w:rPr>
                  <w:rStyle w:val="a8"/>
                  <w:rFonts w:eastAsia="新細明體" w:cstheme="minorHAnsi"/>
                  <w:color w:val="000000" w:themeColor="text1"/>
                  <w:kern w:val="0"/>
                  <w:szCs w:val="24"/>
                  <w:u w:val="none"/>
                  <w:lang/>
                </w:rPr>
                <w:t>E. J. W. Jones</w:t>
              </w:r>
            </w:hyperlink>
            <w:r w:rsidRPr="0078255B">
              <w:rPr>
                <w:rFonts w:eastAsia="新細明體" w:cstheme="minorHAnsi"/>
                <w:color w:val="000000" w:themeColor="text1"/>
                <w:kern w:val="0"/>
                <w:szCs w:val="24"/>
                <w:lang/>
              </w:rPr>
              <w:t> </w:t>
            </w:r>
          </w:p>
          <w:p w14:paraId="3E08C378" w14:textId="754CFFBC" w:rsidR="003B54E1" w:rsidRPr="0078255B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  <w:lang/>
              </w:rPr>
            </w:pPr>
          </w:p>
        </w:tc>
      </w:tr>
      <w:tr w:rsidR="003B54E1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0E850B77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  <w:r w:rsidR="002A41E0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1</w:t>
            </w:r>
            <w:r w:rsidR="002A41E0">
              <w:rPr>
                <w:rStyle w:val="apple-converted-space"/>
                <w:color w:val="3E3F3F"/>
                <w:sz w:val="21"/>
                <w:szCs w:val="21"/>
                <w:shd w:val="clear" w:color="auto" w:fill="FFFFFF"/>
              </w:rPr>
              <w:t>0%</w:t>
            </w:r>
          </w:p>
        </w:tc>
      </w:tr>
      <w:tr w:rsidR="003B54E1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85320B" w14:textId="2E9C068C" w:rsidR="003B54E1" w:rsidRPr="00933647" w:rsidRDefault="002A41E0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EDD7FA7" w14:textId="15CDD71A" w:rsidR="003B54E1" w:rsidRPr="00933647" w:rsidRDefault="002A41E0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276F139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811037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77777777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3B54E1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FDD8393" w14:textId="2FDF4CEE" w:rsidR="003B54E1" w:rsidRPr="00933647" w:rsidRDefault="002A41E0" w:rsidP="006B019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Quiz, homework, midterm, and final</w:t>
            </w:r>
          </w:p>
        </w:tc>
      </w:tr>
      <w:tr w:rsidR="00A7149B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CC46FA" w:rsidRPr="0070731E" w:rsidRDefault="00A7149B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lastRenderedPageBreak/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="00CC46FA" w:rsidRPr="0070731E">
              <w:rPr>
                <w:rFonts w:hint="eastAsia"/>
              </w:rPr>
              <w:t xml:space="preserve"> </w:t>
            </w:r>
          </w:p>
          <w:p w14:paraId="3DDCF0D5" w14:textId="77777777" w:rsidR="00CC46FA" w:rsidRPr="00CC46FA" w:rsidRDefault="00CC46FA" w:rsidP="00CC46FA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A7149B" w:rsidRPr="00933647" w:rsidRDefault="00CC46FA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="00CC46FA" w:rsidRPr="00CC46FA">
              <w:t>Zero Hunger</w:t>
            </w:r>
          </w:p>
          <w:p w14:paraId="0F79E576" w14:textId="33AD3A7A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="00CC46FA" w:rsidRPr="00CC46FA">
              <w:t>Good Health and Well-being</w:t>
            </w:r>
          </w:p>
          <w:p w14:paraId="52649F2E" w14:textId="16F698B0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="00CC46FA" w:rsidRPr="00CC46FA">
              <w:t>Clean Water and Sanitation</w:t>
            </w:r>
          </w:p>
          <w:p w14:paraId="1FE25C6F" w14:textId="1ED81671" w:rsidR="00A7149B" w:rsidRDefault="002A41E0" w:rsidP="00A7149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t xml:space="preserve">V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SDG7</w:t>
            </w:r>
            <w:r w:rsidR="00A7149B">
              <w:t>永續能源</w:t>
            </w:r>
            <w:r w:rsidR="00CC46FA" w:rsidRPr="00CC46FA">
              <w:t>Affordable and Clean Energy</w:t>
            </w:r>
          </w:p>
          <w:p w14:paraId="4A00CDCA" w14:textId="4805E54B" w:rsidR="00A7149B" w:rsidRDefault="002A41E0" w:rsidP="00A7149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t xml:space="preserve">V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SDG8</w:t>
            </w:r>
            <w:r w:rsidR="00A7149B">
              <w:t>就業與經濟成長</w:t>
            </w:r>
            <w:r w:rsidR="00CC46FA" w:rsidRPr="00CC46FA">
              <w:t>Decent Work and Economic Growth</w:t>
            </w:r>
          </w:p>
          <w:p w14:paraId="1BE39274" w14:textId="35CF1F54" w:rsidR="00A7149B" w:rsidRDefault="002A41E0" w:rsidP="00A7149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SDG9</w:t>
            </w:r>
            <w:r w:rsidR="00A7149B">
              <w:t>產業永續創新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75CE6A24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="00A7149B">
              <w:t>永續城市與社區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EFC17C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</w:t>
            </w:r>
            <w:proofErr w:type="gramStart"/>
            <w:r>
              <w:t>生</w:t>
            </w:r>
            <w:proofErr w:type="gramEnd"/>
            <w:r>
              <w:t>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A7149B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="00CC46FA"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047C30DB" w:rsidR="00A7149B" w:rsidRDefault="002A41E0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001D9100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30A5C114" w:rsidR="00A7149B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A7149B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43B9CFC0" w:rsidR="00A7149B" w:rsidRPr="00933647" w:rsidRDefault="002A41E0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A7149B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01A58FA" w:rsidR="00A7149B" w:rsidRPr="00933647" w:rsidRDefault="002A41E0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19B7C7AB" w:rsidR="00A7149B" w:rsidRPr="00933647" w:rsidRDefault="002A41E0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A7DE3E2" w14:textId="1E77754A" w:rsidR="00A22B1F" w:rsidRDefault="00A22B1F"/>
    <w:p w14:paraId="67DB485C" w14:textId="6273DF44" w:rsidR="00A25CB7" w:rsidRDefault="00A25CB7"/>
    <w:p w14:paraId="1249187C" w14:textId="193D0C4A" w:rsidR="00A25CB7" w:rsidRDefault="00A25CB7"/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A22B1F" w:rsidRPr="00933647" w14:paraId="3EAA92F0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352BF6FD" w:rsidR="00A22B1F" w:rsidRPr="006843B3" w:rsidRDefault="00650767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2/19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70DEFBA5" w:rsidR="00A22B1F" w:rsidRPr="00933647" w:rsidRDefault="00EC7B44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Preview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3D7F3691" w:rsidR="00A22B1F" w:rsidRPr="00933647" w:rsidRDefault="000E5A13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All by Wu-Cheng Chi</w:t>
            </w:r>
          </w:p>
        </w:tc>
      </w:tr>
      <w:tr w:rsidR="00A22B1F" w:rsidRPr="00933647" w14:paraId="1007922B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68DDAFEC" w:rsidR="00A22B1F" w:rsidRPr="006843B3" w:rsidRDefault="00650767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2/26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29EDF92B" w:rsidR="00A22B1F" w:rsidRPr="00933647" w:rsidRDefault="00EC7B44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Locating offshore observations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139F28A4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2C5FB6E3" w:rsidR="00A22B1F" w:rsidRPr="006843B3" w:rsidRDefault="00650767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001D0CE3" w:rsidR="00A22B1F" w:rsidRPr="00933647" w:rsidRDefault="00EC7B44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Seabed imaging by sonar and lidar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341EDDC5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7F6B4EE8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3/12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4987B915" w:rsidR="00A22B1F" w:rsidRPr="00933647" w:rsidRDefault="00EC7B44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Seismic exploration at sea: a theoretical background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5AD972F0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6EE23403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3/19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0B13D65C" w:rsidR="00A22B1F" w:rsidRPr="00933647" w:rsidRDefault="00EC7B44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Seismic data acquisition at sea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5D6D3729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074449E9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3/26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37C51C1A" w:rsidR="00A22B1F" w:rsidRPr="00933647" w:rsidRDefault="00EC7B44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The marine gravity field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65227910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319BF2E1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4/2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7543071E" w:rsidR="00A22B1F" w:rsidRPr="00933647" w:rsidRDefault="00EC7B44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The Earth's magnetic field at sea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1982F90F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10E9D94E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4/9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7147F9D4" w:rsidR="00A22B1F" w:rsidRPr="00933647" w:rsidRDefault="00EC7B44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Heat flow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7AC39A3B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35D5733D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4/16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0D300628" w:rsidR="00A22B1F" w:rsidRPr="00933647" w:rsidRDefault="00EC7B44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Investigations of the sea floor using electrical methods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607EDD74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153AE403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4/23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763E0266" w:rsidR="00A22B1F" w:rsidRPr="00933647" w:rsidRDefault="00E931D5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Seabed exploration using radiometric methods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0F350B4A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140CAC91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4/30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37CAADD1" w:rsidR="00A22B1F" w:rsidRPr="00933647" w:rsidRDefault="00E931D5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Geophysical observations in offshore boreholes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655088EB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0A33844F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5/7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62686206" w:rsidR="00A22B1F" w:rsidRPr="00933647" w:rsidRDefault="00E931D5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Deep-sea geophysics and the changing geometry of the oceans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7EDC4C2D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3E9BD593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5/14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6C76059C" w:rsidR="00A22B1F" w:rsidRPr="00933647" w:rsidRDefault="00E931D5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Studies of the oceanic lithosphere: the sedimentary cover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500F8852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59B87A17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5/21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022E7FBA" w:rsidR="00A22B1F" w:rsidRPr="00933647" w:rsidRDefault="00E931D5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Studies of the oceanic lithosphere: the crustal basement and upper mantle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5237628A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51AF471C" w:rsidR="00A22B1F" w:rsidRPr="006843B3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5/28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25B721C1" w:rsidR="00A22B1F" w:rsidRPr="00933647" w:rsidRDefault="00E931D5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Investigations of divergent and transform continental margins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5CF89465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477ACF56" w:rsidR="00A22B1F" w:rsidRDefault="00BD53C0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6/4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383305D8" w:rsidR="00A22B1F" w:rsidRPr="00933647" w:rsidRDefault="00E931D5" w:rsidP="00A7149B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Studies of subduction zones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7A0032EF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A22B1F" w:rsidRPr="006843B3" w:rsidRDefault="00A22B1F" w:rsidP="00A7149B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A22B1F" w:rsidRPr="00933647" w:rsidRDefault="00A22B1F" w:rsidP="00A7149B">
            <w:pPr>
              <w:rPr>
                <w:rFonts w:cstheme="minorHAnsi"/>
              </w:rPr>
            </w:pP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41E7208E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A22B1F" w:rsidRPr="00A22B1F" w:rsidRDefault="00A22B1F" w:rsidP="00A714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A22B1F" w:rsidRPr="00933647" w:rsidRDefault="00A22B1F" w:rsidP="00A7149B">
            <w:pPr>
              <w:rPr>
                <w:rFonts w:cstheme="minorHAnsi"/>
              </w:rPr>
            </w:pP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0D41FC3C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A22B1F" w:rsidRPr="00933647" w:rsidRDefault="00A22B1F" w:rsidP="00A7149B">
            <w:pPr>
              <w:rPr>
                <w:rFonts w:cstheme="minorHAnsi"/>
              </w:rPr>
            </w:pP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A22B1F" w:rsidRPr="00933647" w:rsidRDefault="00A22B1F" w:rsidP="00A7149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A22B1F" w:rsidRPr="00933647" w:rsidRDefault="00A22B1F" w:rsidP="00A7149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76FEA5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</w:t>
            </w:r>
            <w:proofErr w:type="gramStart"/>
            <w:r w:rsidRPr="00933647">
              <w:rPr>
                <w:rFonts w:eastAsia="標楷體" w:cstheme="minorHAnsi"/>
              </w:rPr>
              <w:t>學程所訂</w:t>
            </w:r>
            <w:proofErr w:type="gramEnd"/>
            <w:r w:rsidRPr="00933647">
              <w:rPr>
                <w:rFonts w:eastAsia="標楷體" w:cstheme="minorHAnsi"/>
              </w:rPr>
              <w:t>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2B13FCEC" w14:textId="12E9CB46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V</w:t>
            </w:r>
            <w:r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38DAC2AD" w14:textId="50C91650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V</w:t>
            </w:r>
            <w:r w:rsidRPr="00933647">
              <w:rPr>
                <w:rFonts w:eastAsia="標楷體" w:cstheme="minorHAnsi"/>
              </w:rPr>
              <w:t>進階數理及專業知識能力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B6B31A0" w14:textId="7A4A3B27" w:rsidR="00A7149B" w:rsidRPr="00933647" w:rsidRDefault="00BB0A6E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V</w:t>
            </w:r>
            <w:r w:rsidR="00A7149B"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="00A7149B"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1A5BAB9B" w14:textId="710808DA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V</w:t>
            </w:r>
            <w:r w:rsidRPr="00933647">
              <w:rPr>
                <w:rFonts w:eastAsia="標楷體" w:cstheme="minorHAnsi"/>
              </w:rPr>
              <w:t>電腦及程式語言運用能力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9D3230A" w14:textId="15508873" w:rsidR="00A7149B" w:rsidRPr="00933647" w:rsidRDefault="00BB0A6E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V</w:t>
            </w:r>
            <w:r w:rsidR="00A7149B"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="00A7149B"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77777777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A7149B" w:rsidRPr="00933647" w14:paraId="0438285E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A7149B" w:rsidRPr="00933647" w14:paraId="6701F68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285B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DF3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C09A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5D7A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A18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55D4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99DA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A7149B" w:rsidRPr="00933647" w14:paraId="7B26E845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1B78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B6CA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485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5F23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EB73" w14:textId="1040FCB6" w:rsidR="00A7149B" w:rsidRPr="00933647" w:rsidRDefault="00BB0A6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3BA" w14:textId="394C4E63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BBD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9AA2CEE" w14:textId="7042E95B" w:rsidR="00A7149B" w:rsidRPr="00933647" w:rsidRDefault="00BB0A6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08A69D3" w14:textId="4590319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BB0A6E"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90A827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333B0B2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684DC14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A5D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E0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D14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3BD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3172" w14:textId="22506C7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BEC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96E3" w14:textId="4CF123D8" w:rsidR="00A7149B" w:rsidRPr="00933647" w:rsidRDefault="00BB0A6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B3A6931" w14:textId="22D66EC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E257C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66528F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DDC0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BFD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5A52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C869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C052" w14:textId="5FBB3AA7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5DA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BB8EF" w14:textId="2BF13751" w:rsidR="00A7149B" w:rsidRPr="00933647" w:rsidRDefault="00BB0A6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142ACA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5E53D14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DC8221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7FE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17C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18A6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2D5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43F79" w14:textId="43AFB779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D40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91C68" w14:textId="47817CD5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BB0A6E"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49386C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A6D863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141F850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1655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741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6E2F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AA9E" w14:textId="4B71282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7528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5EADF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4116" w14:textId="60F84113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BB0A6E"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EDD94D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5A3467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3D2CE4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93F154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A7149B" w:rsidRPr="00933647" w14:paraId="2FE4E2B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F47A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4036" w14:textId="68BDB46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51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DC84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82C7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8E9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FF256" w14:textId="0516B173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BB0A6E"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BB0A6E"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808AC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58133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7AD97A5C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E24E" w14:textId="77777777" w:rsidR="00121557" w:rsidRDefault="00121557" w:rsidP="00982579">
      <w:r>
        <w:separator/>
      </w:r>
    </w:p>
  </w:endnote>
  <w:endnote w:type="continuationSeparator" w:id="0">
    <w:p w14:paraId="75978FBB" w14:textId="77777777" w:rsidR="00121557" w:rsidRDefault="00121557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CDE7" w14:textId="77777777" w:rsidR="00121557" w:rsidRDefault="00121557" w:rsidP="00982579">
      <w:r>
        <w:separator/>
      </w:r>
    </w:p>
  </w:footnote>
  <w:footnote w:type="continuationSeparator" w:id="0">
    <w:p w14:paraId="39B5A979" w14:textId="77777777" w:rsidR="00121557" w:rsidRDefault="00121557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40A6A"/>
    <w:rsid w:val="00042A1C"/>
    <w:rsid w:val="000570D2"/>
    <w:rsid w:val="00075F2E"/>
    <w:rsid w:val="000931B5"/>
    <w:rsid w:val="000A242C"/>
    <w:rsid w:val="000E5A13"/>
    <w:rsid w:val="000F2AF5"/>
    <w:rsid w:val="00121557"/>
    <w:rsid w:val="00130885"/>
    <w:rsid w:val="001406AA"/>
    <w:rsid w:val="00170760"/>
    <w:rsid w:val="00170962"/>
    <w:rsid w:val="0017447C"/>
    <w:rsid w:val="00195725"/>
    <w:rsid w:val="001B34A7"/>
    <w:rsid w:val="001D559B"/>
    <w:rsid w:val="001E407D"/>
    <w:rsid w:val="001F6EE8"/>
    <w:rsid w:val="00222E17"/>
    <w:rsid w:val="00223A7D"/>
    <w:rsid w:val="0025464D"/>
    <w:rsid w:val="00274380"/>
    <w:rsid w:val="002A41E0"/>
    <w:rsid w:val="0038470E"/>
    <w:rsid w:val="003B54E1"/>
    <w:rsid w:val="00406995"/>
    <w:rsid w:val="00431432"/>
    <w:rsid w:val="004468B9"/>
    <w:rsid w:val="0047176A"/>
    <w:rsid w:val="00483D85"/>
    <w:rsid w:val="004E02AA"/>
    <w:rsid w:val="00523B32"/>
    <w:rsid w:val="0052455E"/>
    <w:rsid w:val="00530F46"/>
    <w:rsid w:val="00555E7B"/>
    <w:rsid w:val="005635A5"/>
    <w:rsid w:val="00564B20"/>
    <w:rsid w:val="00571809"/>
    <w:rsid w:val="005E2C17"/>
    <w:rsid w:val="00630B31"/>
    <w:rsid w:val="00650767"/>
    <w:rsid w:val="00677009"/>
    <w:rsid w:val="006843B3"/>
    <w:rsid w:val="006B0194"/>
    <w:rsid w:val="006E1CCD"/>
    <w:rsid w:val="0070731E"/>
    <w:rsid w:val="00743F83"/>
    <w:rsid w:val="0078255B"/>
    <w:rsid w:val="007954AB"/>
    <w:rsid w:val="007A2F56"/>
    <w:rsid w:val="007A32A9"/>
    <w:rsid w:val="0081162A"/>
    <w:rsid w:val="00855166"/>
    <w:rsid w:val="008A29C4"/>
    <w:rsid w:val="008A533B"/>
    <w:rsid w:val="008C00B7"/>
    <w:rsid w:val="008D3EBE"/>
    <w:rsid w:val="008F5898"/>
    <w:rsid w:val="00904D2C"/>
    <w:rsid w:val="0090713D"/>
    <w:rsid w:val="00933647"/>
    <w:rsid w:val="00956F4F"/>
    <w:rsid w:val="00982579"/>
    <w:rsid w:val="009D4F3A"/>
    <w:rsid w:val="00A22B1F"/>
    <w:rsid w:val="00A25CB7"/>
    <w:rsid w:val="00A575DE"/>
    <w:rsid w:val="00A7149B"/>
    <w:rsid w:val="00AF3EF4"/>
    <w:rsid w:val="00B3364E"/>
    <w:rsid w:val="00B56124"/>
    <w:rsid w:val="00BA6280"/>
    <w:rsid w:val="00BB0A6E"/>
    <w:rsid w:val="00BB3FCA"/>
    <w:rsid w:val="00BD1BAE"/>
    <w:rsid w:val="00BD53C0"/>
    <w:rsid w:val="00C21DFD"/>
    <w:rsid w:val="00CC46FA"/>
    <w:rsid w:val="00D056FE"/>
    <w:rsid w:val="00D80795"/>
    <w:rsid w:val="00DA776B"/>
    <w:rsid w:val="00DB7163"/>
    <w:rsid w:val="00E44FB8"/>
    <w:rsid w:val="00E931D5"/>
    <w:rsid w:val="00EC7B44"/>
    <w:rsid w:val="00EE701D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unhideWhenUsed/>
    <w:rsid w:val="007825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E-J-W-Jones/e/B001HD1ZLC/ref=dp_byline_cont_book_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2024-10-21T00:33:00Z</dcterms:created>
  <dcterms:modified xsi:type="dcterms:W3CDTF">2024-10-21T00:33:00Z</dcterms:modified>
</cp:coreProperties>
</file>